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6418" w14:textId="4A53EEEB" w:rsidR="006258EF" w:rsidRDefault="001C131A" w:rsidP="001C131A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 </w:t>
      </w:r>
      <w:r>
        <w:rPr>
          <w:noProof/>
        </w:rPr>
        <w:drawing>
          <wp:inline distT="0" distB="0" distL="0" distR="0" wp14:anchorId="11018620" wp14:editId="02834635">
            <wp:extent cx="5486400" cy="590550"/>
            <wp:effectExtent l="0" t="0" r="0" b="0"/>
            <wp:docPr id="11" name="Picture 11" descr="http://artsworld-1278.kxcdn.com/wp-content/uploads/2013/05/gagosian_galle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sworld-1278.kxcdn.com/wp-content/uploads/2013/05/gagosian_galler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8" b="55948"/>
                    <a:stretch/>
                  </pic:blipFill>
                  <pic:spPr bwMode="auto">
                    <a:xfrm>
                      <a:off x="0" y="0"/>
                      <a:ext cx="5486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EADB0" w14:textId="69D30D91" w:rsidR="00735C9F" w:rsidRDefault="00735C9F" w:rsidP="00735C9F">
      <w:pPr>
        <w:rPr>
          <w:rFonts w:ascii="Century" w:hAnsi="Century"/>
        </w:rPr>
      </w:pPr>
      <w:r>
        <w:rPr>
          <w:noProof/>
        </w:rPr>
        <w:drawing>
          <wp:inline distT="0" distB="0" distL="0" distR="0" wp14:anchorId="15406D04" wp14:editId="1FB05EF4">
            <wp:extent cx="581025" cy="581025"/>
            <wp:effectExtent l="0" t="0" r="9525" b="9525"/>
            <wp:docPr id="3" name="Picture 3" descr="https://s-media-cache-ak0.pinimg.com/avatars/csocialfront_1365383963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avatars/csocialfront_1365383963_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9F04B" w14:textId="393CF3B8" w:rsidR="00735C9F" w:rsidRDefault="007461A5" w:rsidP="00735C9F">
      <w:pPr>
        <w:rPr>
          <w:rFonts w:ascii="Century" w:hAnsi="Century"/>
        </w:rPr>
      </w:pPr>
      <w:hyperlink r:id="rId9" w:history="1">
        <w:r w:rsidR="00735C9F" w:rsidRPr="00D0522E">
          <w:rPr>
            <w:rStyle w:val="Hyperlink"/>
            <w:rFonts w:ascii="Century" w:hAnsi="Century"/>
          </w:rPr>
          <w:t>http://csocialfront.com/san-francisco/gagosian-gallery-san-francisco-opening?gallery=54268</w:t>
        </w:r>
      </w:hyperlink>
    </w:p>
    <w:p w14:paraId="6B069C8A" w14:textId="77777777" w:rsidR="009337FA" w:rsidRDefault="009337FA" w:rsidP="001C131A">
      <w:pPr>
        <w:jc w:val="center"/>
        <w:rPr>
          <w:rFonts w:ascii="Century" w:hAnsi="Century"/>
        </w:rPr>
      </w:pPr>
    </w:p>
    <w:p w14:paraId="11E4AAC0" w14:textId="05EF8DED" w:rsidR="00FA6746" w:rsidRDefault="009337FA" w:rsidP="00FC597A">
      <w:pPr>
        <w:tabs>
          <w:tab w:val="left" w:pos="2280"/>
        </w:tabs>
        <w:rPr>
          <w:rFonts w:ascii="Century" w:hAnsi="Century"/>
        </w:rPr>
      </w:pPr>
      <w:r>
        <w:rPr>
          <w:noProof/>
        </w:rPr>
        <w:drawing>
          <wp:inline distT="0" distB="0" distL="0" distR="0" wp14:anchorId="211810F8" wp14:editId="5A758F48">
            <wp:extent cx="723900" cy="292344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E06A" w14:textId="7EFDFBBF" w:rsidR="009337FA" w:rsidRDefault="007461A5" w:rsidP="00FC597A">
      <w:pPr>
        <w:tabs>
          <w:tab w:val="left" w:pos="2280"/>
        </w:tabs>
        <w:rPr>
          <w:rFonts w:ascii="Century" w:hAnsi="Century"/>
        </w:rPr>
      </w:pPr>
      <w:hyperlink r:id="rId11" w:history="1">
        <w:r w:rsidR="009337FA" w:rsidRPr="00A94201">
          <w:rPr>
            <w:rStyle w:val="Hyperlink"/>
            <w:rFonts w:ascii="Century" w:hAnsi="Century"/>
          </w:rPr>
          <w:t>http://www.7x7.com/culture/your-first-look-inside-new-gagosian-gallery</w:t>
        </w:r>
      </w:hyperlink>
    </w:p>
    <w:p w14:paraId="5ED0A143" w14:textId="77777777" w:rsidR="009337FA" w:rsidRDefault="009337FA" w:rsidP="00FC597A">
      <w:pPr>
        <w:tabs>
          <w:tab w:val="left" w:pos="2280"/>
        </w:tabs>
        <w:rPr>
          <w:rFonts w:ascii="Century" w:hAnsi="Century"/>
        </w:rPr>
      </w:pPr>
    </w:p>
    <w:p w14:paraId="072A4B15" w14:textId="6AC998C1" w:rsidR="005912B7" w:rsidRDefault="00FA6746" w:rsidP="00FC597A">
      <w:pPr>
        <w:tabs>
          <w:tab w:val="left" w:pos="2280"/>
        </w:tabs>
        <w:rPr>
          <w:rFonts w:ascii="Century" w:hAnsi="Century"/>
        </w:rPr>
      </w:pPr>
      <w:r w:rsidRPr="00FA6746">
        <w:rPr>
          <w:rFonts w:ascii="Century" w:hAnsi="Century"/>
        </w:rPr>
        <w:t xml:space="preserve"> </w:t>
      </w:r>
      <w:r w:rsidR="005912B7">
        <w:rPr>
          <w:noProof/>
        </w:rPr>
        <w:drawing>
          <wp:inline distT="0" distB="0" distL="0" distR="0" wp14:anchorId="3F575D2F" wp14:editId="53459700">
            <wp:extent cx="1107280" cy="304800"/>
            <wp:effectExtent l="0" t="0" r="0" b="0"/>
            <wp:docPr id="15" name="Picture 15" descr="http://www.sfgate.com/img/pages/article/opengraph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gate.com/img/pages/article/opengraph_defaul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" t="24521" r="2800" b="26437"/>
                    <a:stretch/>
                  </pic:blipFill>
                  <pic:spPr bwMode="auto">
                    <a:xfrm>
                      <a:off x="0" y="0"/>
                      <a:ext cx="110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4A270" w14:textId="7C8F2750" w:rsidR="00FC597A" w:rsidRDefault="007461A5" w:rsidP="00FC597A">
      <w:pPr>
        <w:tabs>
          <w:tab w:val="left" w:pos="2280"/>
        </w:tabs>
        <w:rPr>
          <w:rFonts w:ascii="Century" w:hAnsi="Century"/>
        </w:rPr>
      </w:pPr>
      <w:hyperlink r:id="rId13" w:history="1">
        <w:r w:rsidR="005912B7" w:rsidRPr="00031980">
          <w:rPr>
            <w:rStyle w:val="Hyperlink"/>
            <w:rFonts w:ascii="Century" w:hAnsi="Century"/>
          </w:rPr>
          <w:t>http://www.sfgate.com/art/article/In-major-move-2-big-name-galleries-to-open-6882476.php</w:t>
        </w:r>
      </w:hyperlink>
    </w:p>
    <w:p w14:paraId="035B9590" w14:textId="77777777" w:rsidR="005912B7" w:rsidRDefault="005912B7" w:rsidP="00FC597A">
      <w:pPr>
        <w:tabs>
          <w:tab w:val="left" w:pos="2280"/>
        </w:tabs>
        <w:rPr>
          <w:rFonts w:ascii="Century" w:hAnsi="Century"/>
        </w:rPr>
      </w:pPr>
    </w:p>
    <w:p w14:paraId="0AC44BF1" w14:textId="042D4AC9" w:rsidR="005912B7" w:rsidRDefault="005912B7" w:rsidP="00FC597A">
      <w:pPr>
        <w:tabs>
          <w:tab w:val="left" w:pos="2280"/>
        </w:tabs>
        <w:rPr>
          <w:rFonts w:ascii="Century" w:hAnsi="Century"/>
        </w:rPr>
      </w:pPr>
      <w:r>
        <w:rPr>
          <w:noProof/>
        </w:rPr>
        <w:drawing>
          <wp:inline distT="0" distB="0" distL="0" distR="0" wp14:anchorId="0DFB7C74" wp14:editId="41D78023">
            <wp:extent cx="1378226" cy="247650"/>
            <wp:effectExtent l="0" t="0" r="0" b="0"/>
            <wp:docPr id="16" name="Picture 16" descr="http://ww2.kqed.org/arts/wp-content/themes/KQED-unified/img/hd-kqed-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2.kqed.org/arts/wp-content/themes/KQED-unified/img/hd-kqed-new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26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0623" w14:textId="491E8024" w:rsidR="005912B7" w:rsidRDefault="007461A5" w:rsidP="00FC597A">
      <w:pPr>
        <w:tabs>
          <w:tab w:val="left" w:pos="2280"/>
        </w:tabs>
        <w:rPr>
          <w:rFonts w:ascii="Century" w:hAnsi="Century"/>
        </w:rPr>
      </w:pPr>
      <w:hyperlink r:id="rId15" w:history="1">
        <w:r w:rsidR="005912B7" w:rsidRPr="00031980">
          <w:rPr>
            <w:rStyle w:val="Hyperlink"/>
            <w:rFonts w:ascii="Century" w:hAnsi="Century"/>
          </w:rPr>
          <w:t>http://ww2.kqed.org/arts/2016/03/11/two-prominent-galleries-build-art-district-around-sfmoma/</w:t>
        </w:r>
      </w:hyperlink>
    </w:p>
    <w:p w14:paraId="448535C0" w14:textId="77777777" w:rsidR="00010F3E" w:rsidRDefault="00010F3E" w:rsidP="00FC597A">
      <w:pPr>
        <w:tabs>
          <w:tab w:val="left" w:pos="2280"/>
        </w:tabs>
        <w:rPr>
          <w:rFonts w:ascii="Century" w:hAnsi="Century"/>
        </w:rPr>
      </w:pPr>
    </w:p>
    <w:p w14:paraId="6B85566E" w14:textId="206468E1" w:rsidR="005912B7" w:rsidRDefault="00010F3E" w:rsidP="00FC597A">
      <w:pPr>
        <w:tabs>
          <w:tab w:val="left" w:pos="2280"/>
        </w:tabs>
        <w:rPr>
          <w:rFonts w:ascii="Century" w:hAnsi="Century"/>
        </w:rPr>
      </w:pPr>
      <w:r>
        <w:rPr>
          <w:noProof/>
        </w:rPr>
        <w:drawing>
          <wp:inline distT="0" distB="0" distL="0" distR="0" wp14:anchorId="7B832373" wp14:editId="1DD63440">
            <wp:extent cx="1121866" cy="295275"/>
            <wp:effectExtent l="0" t="0" r="2540" b="0"/>
            <wp:docPr id="17" name="Picture 17" descr="http://www.purevisionarts.org/wp-content/uploads/2010/09/Artnet-New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urevisionarts.org/wp-content/uploads/2010/09/Artnet-News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66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9EBD" w14:textId="50A42751" w:rsidR="005912B7" w:rsidRDefault="007461A5" w:rsidP="00FC597A">
      <w:pPr>
        <w:tabs>
          <w:tab w:val="left" w:pos="2280"/>
        </w:tabs>
        <w:rPr>
          <w:rFonts w:ascii="Century" w:hAnsi="Century"/>
        </w:rPr>
      </w:pPr>
      <w:hyperlink r:id="rId17" w:history="1">
        <w:r w:rsidR="00010F3E" w:rsidRPr="00031980">
          <w:rPr>
            <w:rStyle w:val="Hyperlink"/>
            <w:rFonts w:ascii="Century" w:hAnsi="Century"/>
          </w:rPr>
          <w:t>https://news.artnet.com/art-world/gagosian-san-francisco-gallery-berggruen-446804</w:t>
        </w:r>
      </w:hyperlink>
    </w:p>
    <w:p w14:paraId="6B722BE9" w14:textId="77777777" w:rsidR="00010F3E" w:rsidRDefault="00010F3E" w:rsidP="00FC597A">
      <w:pPr>
        <w:tabs>
          <w:tab w:val="left" w:pos="2280"/>
        </w:tabs>
        <w:rPr>
          <w:rFonts w:ascii="Century" w:hAnsi="Century"/>
        </w:rPr>
      </w:pPr>
    </w:p>
    <w:p w14:paraId="5550548E" w14:textId="09128464" w:rsidR="00010F3E" w:rsidRDefault="00010F3E" w:rsidP="00FC597A">
      <w:pPr>
        <w:tabs>
          <w:tab w:val="left" w:pos="2280"/>
        </w:tabs>
        <w:rPr>
          <w:rFonts w:ascii="Century" w:hAnsi="Century"/>
        </w:rPr>
      </w:pPr>
      <w:r>
        <w:rPr>
          <w:noProof/>
        </w:rPr>
        <w:drawing>
          <wp:inline distT="0" distB="0" distL="0" distR="0" wp14:anchorId="17103031" wp14:editId="06A372E4">
            <wp:extent cx="1383926" cy="247650"/>
            <wp:effectExtent l="0" t="0" r="0" b="0"/>
            <wp:docPr id="18" name="Picture 18" descr="ART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new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16" cy="24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28B4" w14:textId="1E058873" w:rsidR="005912B7" w:rsidRDefault="007461A5" w:rsidP="00FC597A">
      <w:pPr>
        <w:tabs>
          <w:tab w:val="left" w:pos="2280"/>
        </w:tabs>
        <w:rPr>
          <w:rFonts w:ascii="Century" w:hAnsi="Century"/>
        </w:rPr>
      </w:pPr>
      <w:hyperlink r:id="rId19" w:history="1">
        <w:r w:rsidR="00010F3E" w:rsidRPr="00031980">
          <w:rPr>
            <w:rStyle w:val="Hyperlink"/>
            <w:rFonts w:ascii="Century" w:hAnsi="Century"/>
          </w:rPr>
          <w:t>http://www.artnews.com/2016/03/10/gagosian-gallery-john-berggruen-gallery-to-open-new-spaces-near-sfmoma/</w:t>
        </w:r>
      </w:hyperlink>
    </w:p>
    <w:p w14:paraId="772D9D03" w14:textId="77777777" w:rsidR="00010F3E" w:rsidRDefault="00010F3E" w:rsidP="00FC597A">
      <w:pPr>
        <w:tabs>
          <w:tab w:val="left" w:pos="2280"/>
        </w:tabs>
        <w:rPr>
          <w:rFonts w:ascii="Century" w:hAnsi="Century"/>
        </w:rPr>
      </w:pPr>
    </w:p>
    <w:p w14:paraId="686375B0" w14:textId="329EE653" w:rsidR="00873D51" w:rsidRDefault="00873D51" w:rsidP="00FC597A">
      <w:pPr>
        <w:tabs>
          <w:tab w:val="left" w:pos="2280"/>
        </w:tabs>
        <w:rPr>
          <w:rFonts w:ascii="Century" w:hAnsi="Century"/>
        </w:rPr>
      </w:pPr>
      <w:r>
        <w:rPr>
          <w:noProof/>
        </w:rPr>
        <w:drawing>
          <wp:inline distT="0" distB="0" distL="0" distR="0" wp14:anchorId="155787C2" wp14:editId="5AECA07A">
            <wp:extent cx="9525" cy="9525"/>
            <wp:effectExtent l="0" t="0" r="0" b="0"/>
            <wp:docPr id="19" name="Picture 19" descr="http://assets.gothamistllc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ts.gothamistllc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D51">
        <w:t xml:space="preserve"> </w:t>
      </w:r>
      <w:r>
        <w:rPr>
          <w:noProof/>
        </w:rPr>
        <w:drawing>
          <wp:inline distT="0" distB="0" distL="0" distR="0" wp14:anchorId="7AC30D5C" wp14:editId="48CC0D9A">
            <wp:extent cx="1247775" cy="382201"/>
            <wp:effectExtent l="0" t="0" r="0" b="0"/>
            <wp:docPr id="20" name="Picture 20" descr="http://photos1.blogger.com/hello/164/977/1024/sfi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otos1.blogger.com/hello/164/977/1024/sfis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8" b="30357"/>
                    <a:stretch/>
                  </pic:blipFill>
                  <pic:spPr bwMode="auto">
                    <a:xfrm>
                      <a:off x="0" y="0"/>
                      <a:ext cx="1247775" cy="3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6E433" w14:textId="68A04AD3" w:rsidR="005912B7" w:rsidRDefault="007461A5" w:rsidP="00FC597A">
      <w:pPr>
        <w:tabs>
          <w:tab w:val="left" w:pos="2280"/>
        </w:tabs>
        <w:rPr>
          <w:rFonts w:ascii="Century" w:hAnsi="Century"/>
        </w:rPr>
      </w:pPr>
      <w:hyperlink r:id="rId22" w:history="1">
        <w:r w:rsidR="00873D51" w:rsidRPr="00031980">
          <w:rPr>
            <w:rStyle w:val="Hyperlink"/>
            <w:rFonts w:ascii="Century" w:hAnsi="Century"/>
          </w:rPr>
          <w:t>http://sfist.com/2016/05/04/gagosian_san_francisco_offshoot_of.php</w:t>
        </w:r>
      </w:hyperlink>
    </w:p>
    <w:p w14:paraId="69BA8853" w14:textId="77777777" w:rsidR="003D7137" w:rsidRDefault="003D7137" w:rsidP="00FC597A">
      <w:pPr>
        <w:tabs>
          <w:tab w:val="left" w:pos="2280"/>
        </w:tabs>
        <w:rPr>
          <w:rFonts w:ascii="Century" w:hAnsi="Century"/>
        </w:rPr>
      </w:pPr>
    </w:p>
    <w:p w14:paraId="7F2849E4" w14:textId="3AA4E1D7" w:rsidR="00873D51" w:rsidRDefault="003D7137" w:rsidP="00FC597A">
      <w:pPr>
        <w:tabs>
          <w:tab w:val="left" w:pos="2280"/>
        </w:tabs>
        <w:rPr>
          <w:rFonts w:ascii="Century" w:hAnsi="Century"/>
        </w:rPr>
      </w:pPr>
      <w:r>
        <w:rPr>
          <w:noProof/>
        </w:rPr>
        <w:drawing>
          <wp:inline distT="0" distB="0" distL="0" distR="0" wp14:anchorId="0D241290" wp14:editId="216022CE">
            <wp:extent cx="2495550" cy="315438"/>
            <wp:effectExtent l="0" t="0" r="0" b="8890"/>
            <wp:docPr id="21" name="Picture 21" descr="http://static.tumblr.com/22483d879fde6e32b99d1941dea203ad/zgg0fed/Lwvnmk4ad/tumblr_static_eig7q94eeps00oc0s0cgk4o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tumblr.com/22483d879fde6e32b99d1941dea203ad/zgg0fed/Lwvnmk4ad/tumblr_static_eig7q94eeps00oc0s0cgk4o8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73" cy="3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4AE2" w14:textId="5AEC0A9E" w:rsidR="003D7137" w:rsidRDefault="007461A5" w:rsidP="00FC597A">
      <w:pPr>
        <w:tabs>
          <w:tab w:val="left" w:pos="2280"/>
        </w:tabs>
        <w:rPr>
          <w:rStyle w:val="Hyperlink"/>
          <w:rFonts w:ascii="Century" w:hAnsi="Century"/>
        </w:rPr>
      </w:pPr>
      <w:hyperlink r:id="rId24" w:history="1">
        <w:r w:rsidR="003D7137" w:rsidRPr="00031980">
          <w:rPr>
            <w:rStyle w:val="Hyperlink"/>
            <w:rFonts w:ascii="Century" w:hAnsi="Century"/>
          </w:rPr>
          <w:t>http://archpaper.com/2016/03/why-gagosian-san-francisco/</w:t>
        </w:r>
      </w:hyperlink>
    </w:p>
    <w:p w14:paraId="4CF05175" w14:textId="77777777" w:rsidR="00F979FE" w:rsidRDefault="00F979FE" w:rsidP="00FC597A">
      <w:pPr>
        <w:tabs>
          <w:tab w:val="left" w:pos="2280"/>
        </w:tabs>
        <w:rPr>
          <w:rFonts w:ascii="Century" w:hAnsi="Century"/>
        </w:rPr>
      </w:pPr>
    </w:p>
    <w:p w14:paraId="306D226A" w14:textId="4E225A43" w:rsidR="00B344E9" w:rsidRDefault="00B344E9" w:rsidP="00FC597A">
      <w:pPr>
        <w:tabs>
          <w:tab w:val="left" w:pos="2280"/>
        </w:tabs>
        <w:rPr>
          <w:rFonts w:ascii="Century" w:hAnsi="Century"/>
        </w:rPr>
      </w:pPr>
      <w:r>
        <w:rPr>
          <w:noProof/>
        </w:rPr>
        <w:drawing>
          <wp:inline distT="0" distB="0" distL="0" distR="0" wp14:anchorId="16097E46" wp14:editId="2D0FAF96">
            <wp:extent cx="1183819" cy="276225"/>
            <wp:effectExtent l="0" t="0" r="0" b="0"/>
            <wp:docPr id="2" name="Picture 2" descr="http://www.foliomag.com/files/images/purs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iomag.com/files/images/pursuit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84" cy="2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2A84" w14:textId="5873C4A9" w:rsidR="00B344E9" w:rsidRDefault="007461A5" w:rsidP="00FC597A">
      <w:pPr>
        <w:tabs>
          <w:tab w:val="left" w:pos="2280"/>
        </w:tabs>
        <w:rPr>
          <w:rStyle w:val="Hyperlink"/>
          <w:rFonts w:ascii="Century" w:hAnsi="Century"/>
        </w:rPr>
      </w:pPr>
      <w:hyperlink r:id="rId26" w:history="1">
        <w:r w:rsidR="00B344E9" w:rsidRPr="00F84D56">
          <w:rPr>
            <w:rStyle w:val="Hyperlink"/>
            <w:rFonts w:ascii="Century" w:hAnsi="Century"/>
          </w:rPr>
          <w:t>http://www.bloomberg.com/news/articles/2016-03-11/gagosian-gallery-expands-to-san-francisco-by-adding-16th-branch</w:t>
        </w:r>
      </w:hyperlink>
    </w:p>
    <w:p w14:paraId="24A3DF25" w14:textId="1832AE54" w:rsidR="007461A5" w:rsidRDefault="007461A5" w:rsidP="00FC597A">
      <w:pPr>
        <w:tabs>
          <w:tab w:val="left" w:pos="2280"/>
        </w:tabs>
        <w:rPr>
          <w:rStyle w:val="Hyperlink"/>
          <w:rFonts w:ascii="Century" w:hAnsi="Century"/>
        </w:rPr>
      </w:pPr>
      <w:r>
        <w:rPr>
          <w:rFonts w:ascii="Century" w:hAnsi="Century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65348F0D" wp14:editId="6F875855">
            <wp:simplePos x="0" y="0"/>
            <wp:positionH relativeFrom="column">
              <wp:posOffset>3429000</wp:posOffset>
            </wp:positionH>
            <wp:positionV relativeFrom="paragraph">
              <wp:posOffset>854075</wp:posOffset>
            </wp:positionV>
            <wp:extent cx="2743200" cy="2006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R logo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463C9" w14:textId="77777777" w:rsidR="007461A5" w:rsidRDefault="007461A5" w:rsidP="00FC597A">
      <w:pPr>
        <w:tabs>
          <w:tab w:val="left" w:pos="2280"/>
        </w:tabs>
        <w:rPr>
          <w:rFonts w:ascii="Century" w:hAnsi="Century"/>
        </w:rPr>
      </w:pPr>
    </w:p>
    <w:p w14:paraId="121C6BE9" w14:textId="3B070AB6" w:rsidR="003D7137" w:rsidRDefault="007461A5" w:rsidP="00FC597A">
      <w:pPr>
        <w:tabs>
          <w:tab w:val="left" w:pos="2280"/>
        </w:tabs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 wp14:anchorId="56AEC3F7" wp14:editId="52106B31">
            <wp:extent cx="4991100" cy="7010400"/>
            <wp:effectExtent l="0" t="0" r="12700" b="0"/>
            <wp:docPr id="4" name="Picture 4" descr="Macintosh HD:Users:trinitywhite:Desktop:FAIRGROUND_GAGO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nitywhite:Desktop:FAIRGROUND_GAGOSI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r="5556"/>
                    <a:stretch/>
                  </pic:blipFill>
                  <pic:spPr bwMode="auto">
                    <a:xfrm>
                      <a:off x="0" y="0"/>
                      <a:ext cx="4991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CE1E1" w14:textId="7EC26B6C" w:rsidR="007461A5" w:rsidRPr="00FC597A" w:rsidRDefault="007461A5" w:rsidP="00FC597A">
      <w:pPr>
        <w:tabs>
          <w:tab w:val="left" w:pos="2280"/>
        </w:tabs>
        <w:rPr>
          <w:rFonts w:ascii="Century" w:hAnsi="Century"/>
        </w:rPr>
      </w:pPr>
      <w:bookmarkStart w:id="0" w:name="_GoBack"/>
      <w:r>
        <w:rPr>
          <w:rFonts w:ascii="Century" w:hAnsi="Century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03A003A7" wp14:editId="74C967D1">
            <wp:simplePos x="0" y="0"/>
            <wp:positionH relativeFrom="column">
              <wp:posOffset>3543300</wp:posOffset>
            </wp:positionH>
            <wp:positionV relativeFrom="paragraph">
              <wp:posOffset>1635125</wp:posOffset>
            </wp:positionV>
            <wp:extent cx="2743200" cy="2006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R logo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61A5" w:rsidRPr="00FC597A" w:rsidSect="006C0997">
      <w:pgSz w:w="12240" w:h="15840"/>
      <w:pgMar w:top="1440" w:right="1800" w:bottom="1440" w:left="180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13D0" w14:textId="77777777" w:rsidR="00DF1CD2" w:rsidRDefault="00DF1CD2" w:rsidP="003D38D8">
      <w:r>
        <w:separator/>
      </w:r>
    </w:p>
  </w:endnote>
  <w:endnote w:type="continuationSeparator" w:id="0">
    <w:p w14:paraId="62F4CA78" w14:textId="77777777" w:rsidR="00DF1CD2" w:rsidRDefault="00DF1CD2" w:rsidP="003D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248C" w14:textId="77777777" w:rsidR="00DF1CD2" w:rsidRDefault="00DF1CD2" w:rsidP="003D38D8">
      <w:r>
        <w:separator/>
      </w:r>
    </w:p>
  </w:footnote>
  <w:footnote w:type="continuationSeparator" w:id="0">
    <w:p w14:paraId="4EAF4B13" w14:textId="77777777" w:rsidR="00DF1CD2" w:rsidRDefault="00DF1CD2" w:rsidP="003D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54"/>
    <w:rsid w:val="00010F3E"/>
    <w:rsid w:val="000361D6"/>
    <w:rsid w:val="00043268"/>
    <w:rsid w:val="00062741"/>
    <w:rsid w:val="00091306"/>
    <w:rsid w:val="000B5654"/>
    <w:rsid w:val="00122D83"/>
    <w:rsid w:val="0012460C"/>
    <w:rsid w:val="001536DD"/>
    <w:rsid w:val="001572B4"/>
    <w:rsid w:val="00184925"/>
    <w:rsid w:val="001A1480"/>
    <w:rsid w:val="001A2675"/>
    <w:rsid w:val="001B1AC3"/>
    <w:rsid w:val="001C131A"/>
    <w:rsid w:val="001D7050"/>
    <w:rsid w:val="001E31C6"/>
    <w:rsid w:val="001E4E36"/>
    <w:rsid w:val="0020613B"/>
    <w:rsid w:val="00226950"/>
    <w:rsid w:val="00271597"/>
    <w:rsid w:val="002976A7"/>
    <w:rsid w:val="002B29B8"/>
    <w:rsid w:val="002F05C6"/>
    <w:rsid w:val="0030732B"/>
    <w:rsid w:val="003149A2"/>
    <w:rsid w:val="003B01B2"/>
    <w:rsid w:val="003B33D8"/>
    <w:rsid w:val="003D38D8"/>
    <w:rsid w:val="003D7137"/>
    <w:rsid w:val="00404969"/>
    <w:rsid w:val="0045662C"/>
    <w:rsid w:val="00477272"/>
    <w:rsid w:val="004A673B"/>
    <w:rsid w:val="004E035D"/>
    <w:rsid w:val="005141DF"/>
    <w:rsid w:val="00556B1B"/>
    <w:rsid w:val="005912B7"/>
    <w:rsid w:val="005C0F8F"/>
    <w:rsid w:val="006258EF"/>
    <w:rsid w:val="00670AD2"/>
    <w:rsid w:val="006965CE"/>
    <w:rsid w:val="006B1F54"/>
    <w:rsid w:val="006C0997"/>
    <w:rsid w:val="006C6E08"/>
    <w:rsid w:val="00735C9F"/>
    <w:rsid w:val="007461A5"/>
    <w:rsid w:val="00747C0E"/>
    <w:rsid w:val="00751EB9"/>
    <w:rsid w:val="007B0010"/>
    <w:rsid w:val="007B2F1C"/>
    <w:rsid w:val="007C0971"/>
    <w:rsid w:val="007F7EB8"/>
    <w:rsid w:val="008011DE"/>
    <w:rsid w:val="00851B6D"/>
    <w:rsid w:val="0086234F"/>
    <w:rsid w:val="00873D51"/>
    <w:rsid w:val="00891855"/>
    <w:rsid w:val="008D0D14"/>
    <w:rsid w:val="008D3B1B"/>
    <w:rsid w:val="0090638E"/>
    <w:rsid w:val="00912F4C"/>
    <w:rsid w:val="009337FA"/>
    <w:rsid w:val="00935D4A"/>
    <w:rsid w:val="009478EB"/>
    <w:rsid w:val="00965BA7"/>
    <w:rsid w:val="0099011C"/>
    <w:rsid w:val="00992998"/>
    <w:rsid w:val="009A3A53"/>
    <w:rsid w:val="009D27E3"/>
    <w:rsid w:val="00A05101"/>
    <w:rsid w:val="00A2557D"/>
    <w:rsid w:val="00A67758"/>
    <w:rsid w:val="00A95F61"/>
    <w:rsid w:val="00AA5098"/>
    <w:rsid w:val="00AD2EFB"/>
    <w:rsid w:val="00B006C1"/>
    <w:rsid w:val="00B33A98"/>
    <w:rsid w:val="00B344E9"/>
    <w:rsid w:val="00B531B6"/>
    <w:rsid w:val="00B64094"/>
    <w:rsid w:val="00B6774B"/>
    <w:rsid w:val="00B876CC"/>
    <w:rsid w:val="00BA654E"/>
    <w:rsid w:val="00BB5137"/>
    <w:rsid w:val="00BE6A35"/>
    <w:rsid w:val="00BF0FDD"/>
    <w:rsid w:val="00C26E8C"/>
    <w:rsid w:val="00C348BB"/>
    <w:rsid w:val="00C75625"/>
    <w:rsid w:val="00C804BF"/>
    <w:rsid w:val="00CF1CD8"/>
    <w:rsid w:val="00D07CAB"/>
    <w:rsid w:val="00D3152A"/>
    <w:rsid w:val="00D33C4E"/>
    <w:rsid w:val="00D514B6"/>
    <w:rsid w:val="00D933EC"/>
    <w:rsid w:val="00DF1CD2"/>
    <w:rsid w:val="00E21FBC"/>
    <w:rsid w:val="00E53BB2"/>
    <w:rsid w:val="00E7135E"/>
    <w:rsid w:val="00E73C62"/>
    <w:rsid w:val="00E74311"/>
    <w:rsid w:val="00EB395B"/>
    <w:rsid w:val="00ED2785"/>
    <w:rsid w:val="00EE302D"/>
    <w:rsid w:val="00F06659"/>
    <w:rsid w:val="00F13A84"/>
    <w:rsid w:val="00F234D8"/>
    <w:rsid w:val="00F277C7"/>
    <w:rsid w:val="00F30CB0"/>
    <w:rsid w:val="00F4618D"/>
    <w:rsid w:val="00F765A5"/>
    <w:rsid w:val="00F946DD"/>
    <w:rsid w:val="00F979FE"/>
    <w:rsid w:val="00FA6746"/>
    <w:rsid w:val="00FB39D2"/>
    <w:rsid w:val="00FC597A"/>
    <w:rsid w:val="00FE5B64"/>
    <w:rsid w:val="00FE7695"/>
    <w:rsid w:val="00FF5AC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C0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1B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B876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C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87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D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6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1B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B876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C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87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D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6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socialfront.com/san-francisco/gagosian-gallery-san-francisco-opening?gallery=54268" TargetMode="External"/><Relationship Id="rId20" Type="http://schemas.openxmlformats.org/officeDocument/2006/relationships/image" Target="media/image8.gif"/><Relationship Id="rId21" Type="http://schemas.openxmlformats.org/officeDocument/2006/relationships/image" Target="media/image9.jpeg"/><Relationship Id="rId22" Type="http://schemas.openxmlformats.org/officeDocument/2006/relationships/hyperlink" Target="http://sfist.com/2016/05/04/gagosian_san_francisco_offshoot_of.php" TargetMode="External"/><Relationship Id="rId23" Type="http://schemas.openxmlformats.org/officeDocument/2006/relationships/image" Target="media/image10.gif"/><Relationship Id="rId24" Type="http://schemas.openxmlformats.org/officeDocument/2006/relationships/hyperlink" Target="http://archpaper.com/2016/03/why-gagosian-san-francisco/" TargetMode="External"/><Relationship Id="rId25" Type="http://schemas.openxmlformats.org/officeDocument/2006/relationships/image" Target="media/image11.jpeg"/><Relationship Id="rId26" Type="http://schemas.openxmlformats.org/officeDocument/2006/relationships/hyperlink" Target="http://www.bloomberg.com/news/articles/2016-03-11/gagosian-gallery-expands-to-san-francisco-by-adding-16th-branch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3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www.7x7.com/culture/your-first-look-inside-new-gagosian-gallery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sfgate.com/art/article/In-major-move-2-big-name-galleries-to-open-6882476.php" TargetMode="External"/><Relationship Id="rId14" Type="http://schemas.openxmlformats.org/officeDocument/2006/relationships/image" Target="media/image5.png"/><Relationship Id="rId15" Type="http://schemas.openxmlformats.org/officeDocument/2006/relationships/hyperlink" Target="http://ww2.kqed.org/arts/2016/03/11/two-prominent-galleries-build-art-district-around-sfmoma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s://news.artnet.com/art-world/gagosian-san-francisco-gallery-berggruen-446804" TargetMode="External"/><Relationship Id="rId18" Type="http://schemas.openxmlformats.org/officeDocument/2006/relationships/image" Target="media/image7.gif"/><Relationship Id="rId19" Type="http://schemas.openxmlformats.org/officeDocument/2006/relationships/hyperlink" Target="http://www.artnews.com/2016/03/10/gagosian-gallery-john-berggruen-gallery-to-open-new-spaces-near-sfmom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Silva-Behrens</dc:creator>
  <cp:lastModifiedBy>Trinity White</cp:lastModifiedBy>
  <cp:revision>38</cp:revision>
  <dcterms:created xsi:type="dcterms:W3CDTF">2016-04-14T15:30:00Z</dcterms:created>
  <dcterms:modified xsi:type="dcterms:W3CDTF">2016-08-16T00:05:00Z</dcterms:modified>
</cp:coreProperties>
</file>